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3" w:rsidRPr="00496AC3" w:rsidRDefault="00496AC3" w:rsidP="00274CAE">
      <w:pPr>
        <w:pStyle w:val="ListeParagraf"/>
        <w:tabs>
          <w:tab w:val="left" w:pos="2243"/>
        </w:tabs>
        <w:spacing w:line="206" w:lineRule="auto"/>
        <w:ind w:left="-510" w:right="-680" w:firstLine="0"/>
        <w:jc w:val="both"/>
        <w:rPr>
          <w:b/>
          <w:color w:val="002060"/>
          <w:sz w:val="52"/>
          <w:szCs w:val="52"/>
        </w:rPr>
      </w:pPr>
      <w:r w:rsidRPr="00496AC3">
        <w:rPr>
          <w:b/>
          <w:color w:val="002060"/>
          <w:sz w:val="52"/>
          <w:szCs w:val="52"/>
        </w:rPr>
        <w:t>VERİMLİ ÇALIŞMA</w:t>
      </w:r>
    </w:p>
    <w:p w:rsidR="00496AC3" w:rsidRDefault="00274CAE" w:rsidP="00274CAE">
      <w:pPr>
        <w:pStyle w:val="ListeParagraf"/>
        <w:tabs>
          <w:tab w:val="left" w:pos="2243"/>
        </w:tabs>
        <w:spacing w:line="206" w:lineRule="auto"/>
        <w:ind w:left="-510" w:right="-680" w:firstLine="0"/>
        <w:jc w:val="both"/>
        <w:rPr>
          <w:color w:val="333300"/>
          <w:sz w:val="36"/>
        </w:rPr>
      </w:pPr>
      <w:r>
        <w:rPr>
          <w:color w:val="333300"/>
          <w:sz w:val="36"/>
        </w:rPr>
        <w:t xml:space="preserve">    </w:t>
      </w:r>
      <w:r w:rsidR="00860E2E">
        <w:rPr>
          <w:color w:val="333300"/>
          <w:sz w:val="36"/>
        </w:rPr>
        <w:t xml:space="preserve"> </w:t>
      </w:r>
    </w:p>
    <w:p w:rsidR="00D95E8E" w:rsidRDefault="00860E2E" w:rsidP="00274CAE">
      <w:pPr>
        <w:pStyle w:val="ListeParagraf"/>
        <w:tabs>
          <w:tab w:val="left" w:pos="2243"/>
        </w:tabs>
        <w:spacing w:line="206" w:lineRule="auto"/>
        <w:ind w:left="-510" w:right="-680" w:firstLine="0"/>
        <w:jc w:val="both"/>
        <w:rPr>
          <w:sz w:val="36"/>
        </w:rPr>
      </w:pPr>
      <w:r>
        <w:rPr>
          <w:color w:val="333300"/>
          <w:sz w:val="36"/>
        </w:rPr>
        <w:t xml:space="preserve"> </w:t>
      </w:r>
      <w:r w:rsidR="00D95E8E">
        <w:rPr>
          <w:color w:val="333300"/>
          <w:sz w:val="36"/>
        </w:rPr>
        <w:t>Öğr</w:t>
      </w:r>
      <w:r w:rsidR="00274CAE">
        <w:rPr>
          <w:color w:val="333300"/>
          <w:sz w:val="36"/>
        </w:rPr>
        <w:t xml:space="preserve">enme sürecinde, duyu </w:t>
      </w:r>
      <w:proofErr w:type="gramStart"/>
      <w:r w:rsidR="00274CAE">
        <w:rPr>
          <w:color w:val="333300"/>
          <w:sz w:val="36"/>
        </w:rPr>
        <w:t xml:space="preserve">organları </w:t>
      </w:r>
      <w:r w:rsidR="00D95E8E">
        <w:rPr>
          <w:color w:val="333300"/>
          <w:sz w:val="36"/>
        </w:rPr>
        <w:t xml:space="preserve"> kısa</w:t>
      </w:r>
      <w:proofErr w:type="gramEnd"/>
      <w:r w:rsidR="00D95E8E">
        <w:rPr>
          <w:color w:val="333300"/>
          <w:sz w:val="36"/>
        </w:rPr>
        <w:t xml:space="preserve"> süreli hafıza - uzun süreli hafıza arasında sıkı bir ilişki</w:t>
      </w:r>
      <w:r w:rsidR="00D95E8E">
        <w:rPr>
          <w:color w:val="333300"/>
          <w:spacing w:val="-11"/>
          <w:sz w:val="36"/>
        </w:rPr>
        <w:t xml:space="preserve"> </w:t>
      </w:r>
      <w:r w:rsidR="00D95E8E">
        <w:rPr>
          <w:color w:val="333300"/>
          <w:sz w:val="36"/>
        </w:rPr>
        <w:t>vardır.</w:t>
      </w:r>
    </w:p>
    <w:p w:rsidR="00D95E8E" w:rsidRDefault="00274CAE" w:rsidP="00274CAE">
      <w:pPr>
        <w:pStyle w:val="ListeParagraf"/>
        <w:tabs>
          <w:tab w:val="left" w:pos="2243"/>
        </w:tabs>
        <w:spacing w:before="219" w:line="206" w:lineRule="auto"/>
        <w:ind w:left="-510" w:right="-680" w:firstLine="0"/>
        <w:jc w:val="both"/>
        <w:rPr>
          <w:sz w:val="36"/>
        </w:rPr>
      </w:pPr>
      <w:r>
        <w:rPr>
          <w:color w:val="333300"/>
          <w:sz w:val="36"/>
        </w:rPr>
        <w:t xml:space="preserve">     </w:t>
      </w:r>
      <w:r w:rsidR="00D95E8E">
        <w:rPr>
          <w:color w:val="333300"/>
          <w:sz w:val="36"/>
        </w:rPr>
        <w:t>Yeni bilgiler (dışarıdan gelen her türlü mesaj) duyu organları yoluyla fark edilir ve kısa süreli hafızaya</w:t>
      </w:r>
      <w:r w:rsidR="00D95E8E">
        <w:rPr>
          <w:color w:val="333300"/>
          <w:spacing w:val="-7"/>
          <w:sz w:val="36"/>
        </w:rPr>
        <w:t xml:space="preserve"> </w:t>
      </w:r>
      <w:r w:rsidR="00D95E8E">
        <w:rPr>
          <w:color w:val="333300"/>
          <w:sz w:val="36"/>
        </w:rPr>
        <w:t>aktarılır.</w:t>
      </w:r>
    </w:p>
    <w:p w:rsidR="00D95E8E" w:rsidRDefault="00274CAE" w:rsidP="00274CAE">
      <w:pPr>
        <w:pStyle w:val="ListeParagraf"/>
        <w:tabs>
          <w:tab w:val="left" w:pos="2243"/>
        </w:tabs>
        <w:spacing w:before="220" w:line="206" w:lineRule="auto"/>
        <w:ind w:left="-510" w:right="-680" w:firstLine="0"/>
        <w:jc w:val="both"/>
        <w:rPr>
          <w:sz w:val="36"/>
        </w:rPr>
      </w:pPr>
      <w:r>
        <w:rPr>
          <w:color w:val="333300"/>
          <w:sz w:val="36"/>
        </w:rPr>
        <w:t xml:space="preserve">    </w:t>
      </w:r>
      <w:r w:rsidR="00D95E8E">
        <w:rPr>
          <w:color w:val="333300"/>
          <w:sz w:val="36"/>
        </w:rPr>
        <w:t>Kısa süreli hafızadaki bilgilerden tekrar edilmeyenler unutulur. Tekrar edilenler ise uzun süreli hafızaya saklanmak üzere kaydedilir.</w:t>
      </w:r>
    </w:p>
    <w:p w:rsidR="00D95E8E" w:rsidRDefault="00274CAE" w:rsidP="00274CAE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color w:val="333300"/>
          <w:sz w:val="36"/>
        </w:rPr>
      </w:pPr>
      <w:r>
        <w:rPr>
          <w:color w:val="333300"/>
          <w:sz w:val="36"/>
        </w:rPr>
        <w:t xml:space="preserve">     </w:t>
      </w:r>
      <w:r w:rsidR="00D95E8E">
        <w:rPr>
          <w:color w:val="333300"/>
          <w:sz w:val="36"/>
        </w:rPr>
        <w:t>Bu bilgiler belli bir zaman dilimi geçtikten sonra hatırlanabiliyorsa, o bilgilere ilişkin soru sorulduğunda doğru cevap verilebiliyorsa, öğrenme gerçekleşmiş</w:t>
      </w:r>
      <w:r w:rsidR="00D95E8E">
        <w:rPr>
          <w:color w:val="333300"/>
          <w:spacing w:val="-8"/>
          <w:sz w:val="36"/>
        </w:rPr>
        <w:t xml:space="preserve"> </w:t>
      </w:r>
      <w:r w:rsidR="00D95E8E">
        <w:rPr>
          <w:color w:val="333300"/>
          <w:sz w:val="36"/>
        </w:rPr>
        <w:t>demektir.</w:t>
      </w:r>
    </w:p>
    <w:p w:rsidR="00860E2E" w:rsidRPr="00327867" w:rsidRDefault="00496AC3" w:rsidP="00274CAE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>
        <w:rPr>
          <w:noProof/>
          <w:lang w:eastAsia="tr-TR"/>
        </w:rPr>
        <w:drawing>
          <wp:inline distT="0" distB="0" distL="0" distR="0" wp14:anchorId="427F6C3B" wp14:editId="00795F4E">
            <wp:extent cx="6185753" cy="4657725"/>
            <wp:effectExtent l="0" t="0" r="5715" b="0"/>
            <wp:docPr id="5" name="İçerik Yer Tutucus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r="14744" b="2040"/>
                    <a:stretch/>
                  </pic:blipFill>
                  <pic:spPr>
                    <a:xfrm>
                      <a:off x="0" y="0"/>
                      <a:ext cx="6187254" cy="465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38" w:rsidRPr="005129E1" w:rsidRDefault="006E0E38" w:rsidP="00140412">
      <w:pPr>
        <w:ind w:right="-680"/>
      </w:pPr>
      <w:bookmarkStart w:id="0" w:name="_GoBack"/>
      <w:bookmarkEnd w:id="0"/>
    </w:p>
    <w:sectPr w:rsidR="006E0E38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140412"/>
    <w:rsid w:val="0026268B"/>
    <w:rsid w:val="00274CAE"/>
    <w:rsid w:val="00327867"/>
    <w:rsid w:val="0041560E"/>
    <w:rsid w:val="00496AC3"/>
    <w:rsid w:val="005129E1"/>
    <w:rsid w:val="005313D0"/>
    <w:rsid w:val="006E0E38"/>
    <w:rsid w:val="00860E2E"/>
    <w:rsid w:val="00C74066"/>
    <w:rsid w:val="00D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D1B4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dcterms:created xsi:type="dcterms:W3CDTF">2021-09-17T06:50:00Z</dcterms:created>
  <dcterms:modified xsi:type="dcterms:W3CDTF">2021-12-02T06:14:00Z</dcterms:modified>
</cp:coreProperties>
</file>